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FC0" w:rsidRDefault="00F82FC0" w:rsidP="00F82FC0">
      <w:pPr>
        <w:jc w:val="center"/>
        <w:rPr>
          <w:rFonts w:ascii="Arial" w:hAnsi="Arial" w:cs="Arial"/>
          <w:b/>
        </w:rPr>
      </w:pPr>
    </w:p>
    <w:p w:rsidR="00F82FC0" w:rsidRDefault="00F82FC0" w:rsidP="00F82F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DELIBERAÇÃO Nº. 04/2016</w:t>
      </w:r>
    </w:p>
    <w:p w:rsidR="00F82FC0" w:rsidRPr="0032131B" w:rsidRDefault="00F82FC0" w:rsidP="00F82FC0">
      <w:pPr>
        <w:jc w:val="center"/>
        <w:rPr>
          <w:rFonts w:ascii="Arial" w:hAnsi="Arial" w:cs="Arial"/>
          <w:b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</w:rPr>
        <w:t>O Plenário do Conselho Municipal dos Direitos da Criança e do Adolescente - CMDCA</w:t>
      </w:r>
      <w:r>
        <w:rPr>
          <w:rFonts w:ascii="Arial" w:hAnsi="Arial" w:cs="Arial"/>
        </w:rPr>
        <w:t>, em reunião realizada no dia 12/07/2016</w:t>
      </w:r>
      <w:r w:rsidRPr="0032131B">
        <w:rPr>
          <w:rFonts w:ascii="Arial" w:hAnsi="Arial" w:cs="Arial"/>
        </w:rPr>
        <w:t>, deliberou sobre as seguintes normas para recebimento de recursos do Fundo Municipal dos Direitos da Criança e do Adolescente – FMDCA, pelas Entidades registradas e programas inscritos neste conselho, considerando-se a Lei Federal nº. 8.069 de 13/07/1990 (ECA), a Lei Municipal nº. 2.790 de 29/12/1994, o Decreto Municipal 4.403 de 17/02/2004 (alterado pelo Decreto Municipal nº. 11.925 de 17/08/2011) e a Resolução nº. 137 de 21/01/2010 do CONANDA.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Art. 1º</w:t>
      </w:r>
      <w:r w:rsidRPr="0032131B">
        <w:rPr>
          <w:rFonts w:ascii="Arial" w:hAnsi="Arial" w:cs="Arial"/>
        </w:rPr>
        <w:t xml:space="preserve"> – Para o recebimento de recursos do FMDCA, os projetos deverão ter por objeto central um programa </w:t>
      </w:r>
      <w:r>
        <w:rPr>
          <w:rFonts w:ascii="Arial" w:hAnsi="Arial" w:cs="Arial"/>
        </w:rPr>
        <w:t>de atendimento direto as crianças</w:t>
      </w:r>
      <w:r w:rsidRPr="0032131B">
        <w:rPr>
          <w:rFonts w:ascii="Arial" w:hAnsi="Arial" w:cs="Arial"/>
        </w:rPr>
        <w:t xml:space="preserve"> e/ou ao</w:t>
      </w:r>
      <w:r>
        <w:rPr>
          <w:rFonts w:ascii="Arial" w:hAnsi="Arial" w:cs="Arial"/>
        </w:rPr>
        <w:t>s</w:t>
      </w:r>
      <w:r w:rsidRPr="0032131B">
        <w:rPr>
          <w:rFonts w:ascii="Arial" w:hAnsi="Arial" w:cs="Arial"/>
        </w:rPr>
        <w:t xml:space="preserve"> adolescente</w:t>
      </w:r>
      <w:r>
        <w:rPr>
          <w:rFonts w:ascii="Arial" w:hAnsi="Arial" w:cs="Arial"/>
        </w:rPr>
        <w:t>s</w:t>
      </w:r>
      <w:r w:rsidRPr="0032131B">
        <w:rPr>
          <w:rFonts w:ascii="Arial" w:hAnsi="Arial" w:cs="Arial"/>
        </w:rPr>
        <w:t xml:space="preserve"> e respectiva</w:t>
      </w:r>
      <w:r>
        <w:rPr>
          <w:rFonts w:ascii="Arial" w:hAnsi="Arial" w:cs="Arial"/>
        </w:rPr>
        <w:t>s</w:t>
      </w:r>
      <w:r w:rsidRPr="0032131B">
        <w:rPr>
          <w:rFonts w:ascii="Arial" w:hAnsi="Arial" w:cs="Arial"/>
        </w:rPr>
        <w:t xml:space="preserve"> família</w:t>
      </w:r>
      <w:r>
        <w:rPr>
          <w:rFonts w:ascii="Arial" w:hAnsi="Arial" w:cs="Arial"/>
        </w:rPr>
        <w:t>s</w:t>
      </w:r>
      <w:r w:rsidRPr="0032131B">
        <w:rPr>
          <w:rFonts w:ascii="Arial" w:hAnsi="Arial" w:cs="Arial"/>
        </w:rPr>
        <w:t>, destinando-se a proteção integral e defesa dos direitos.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Parágrafo único.</w:t>
      </w:r>
      <w:r w:rsidRPr="0032131B">
        <w:rPr>
          <w:rFonts w:ascii="Arial" w:hAnsi="Arial" w:cs="Arial"/>
        </w:rPr>
        <w:t xml:space="preserve"> Os recursos financeiros pleiteados deverão ser aplicados em atividades indispensáveis ao atendimento à criança e/ou ao adolescente.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Art. 2º</w:t>
      </w:r>
      <w:r w:rsidRPr="0032131B">
        <w:rPr>
          <w:rFonts w:ascii="Arial" w:hAnsi="Arial" w:cs="Arial"/>
        </w:rPr>
        <w:t xml:space="preserve"> – Para pleitear recursos, as Entidades deverão estar inscritas com seus programas de trabalho, especificando o regime de atendimento, conforme art. 90 da Lei Federal nº. 8.069/90 (ECA), junto ao Conselho Municipal dos Direitos da Criança e do Adolescente.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Parágrafo único.</w:t>
      </w:r>
      <w:r w:rsidRPr="0032131B">
        <w:rPr>
          <w:rFonts w:ascii="Arial" w:hAnsi="Arial" w:cs="Arial"/>
        </w:rPr>
        <w:t xml:space="preserve"> São requisitos para apresentação dos projetos: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I</w:t>
      </w:r>
      <w:r w:rsidRPr="0032131B">
        <w:rPr>
          <w:rFonts w:ascii="Arial" w:hAnsi="Arial" w:cs="Arial"/>
        </w:rPr>
        <w:t xml:space="preserve"> - Justificativa da necessidade e da demanda social do projeto e demonstração da adequação do orçamento;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II</w:t>
      </w:r>
      <w:r w:rsidRPr="0032131B">
        <w:rPr>
          <w:rFonts w:ascii="Arial" w:hAnsi="Arial" w:cs="Arial"/>
        </w:rPr>
        <w:t xml:space="preserve"> - Estar em consonância com o estabelecido pela Constituição Federal e Estatuto da Criança e do Adolescente.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III</w:t>
      </w:r>
      <w:r w:rsidRPr="0032131B">
        <w:rPr>
          <w:rFonts w:ascii="Arial" w:hAnsi="Arial" w:cs="Arial"/>
        </w:rPr>
        <w:t xml:space="preserve"> – Possuir mais de um ano de registro conforme art. 28 da resolução nº. 02/2012 do CMDCA;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Art. 3º</w:t>
      </w:r>
      <w:r w:rsidRPr="0032131B">
        <w:rPr>
          <w:rFonts w:ascii="Arial" w:hAnsi="Arial" w:cs="Arial"/>
        </w:rPr>
        <w:t xml:space="preserve"> - A apresentação dos projetos deverá observar a regra de apenas 01 (um) projeto por programa inscrito no Conselho.</w:t>
      </w: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5A7776" w:rsidRDefault="00F82FC0" w:rsidP="00F82FC0">
      <w:pPr>
        <w:ind w:firstLine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Parágrafo único. </w:t>
      </w:r>
      <w:r>
        <w:rPr>
          <w:rFonts w:ascii="Arial" w:hAnsi="Arial" w:cs="Arial"/>
        </w:rPr>
        <w:t>Será permitida a apresentação de outros pr</w:t>
      </w:r>
      <w:r w:rsidR="00121372">
        <w:rPr>
          <w:rFonts w:ascii="Arial" w:hAnsi="Arial" w:cs="Arial"/>
        </w:rPr>
        <w:t xml:space="preserve">ojetos para editais específicos, </w:t>
      </w:r>
      <w:r w:rsidR="00121372" w:rsidRPr="00740CD2">
        <w:rPr>
          <w:rFonts w:ascii="Arial" w:hAnsi="Arial" w:cs="Arial"/>
        </w:rPr>
        <w:t xml:space="preserve">desde que respeitada </w:t>
      </w:r>
      <w:proofErr w:type="gramStart"/>
      <w:r w:rsidR="00121372" w:rsidRPr="00740CD2">
        <w:rPr>
          <w:rFonts w:ascii="Arial" w:hAnsi="Arial" w:cs="Arial"/>
        </w:rPr>
        <w:t>a</w:t>
      </w:r>
      <w:proofErr w:type="gramEnd"/>
      <w:r w:rsidR="00121372" w:rsidRPr="00740CD2">
        <w:rPr>
          <w:rFonts w:ascii="Arial" w:hAnsi="Arial" w:cs="Arial"/>
        </w:rPr>
        <w:t xml:space="preserve"> retenção 20% ao FMDCA para distribuição geral entre as entidades que tiverem projetos aprovados em 2016.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740CD2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Art. 4º</w:t>
      </w:r>
      <w:r w:rsidRPr="0032131B">
        <w:rPr>
          <w:rFonts w:ascii="Arial" w:hAnsi="Arial" w:cs="Arial"/>
        </w:rPr>
        <w:t xml:space="preserve"> - O prazo para apresentação dos projeto</w:t>
      </w:r>
      <w:r>
        <w:rPr>
          <w:rFonts w:ascii="Arial" w:hAnsi="Arial" w:cs="Arial"/>
        </w:rPr>
        <w:t>s será até o dia 15/08/2016</w:t>
      </w:r>
      <w:r w:rsidRPr="0032131B">
        <w:rPr>
          <w:rFonts w:ascii="Arial" w:hAnsi="Arial" w:cs="Arial"/>
        </w:rPr>
        <w:t>, na</w:t>
      </w:r>
      <w:r w:rsidR="00984742">
        <w:rPr>
          <w:rFonts w:ascii="Arial" w:hAnsi="Arial" w:cs="Arial"/>
        </w:rPr>
        <w:t xml:space="preserve"> </w:t>
      </w:r>
      <w:r w:rsidR="00984742" w:rsidRPr="00740CD2">
        <w:rPr>
          <w:rFonts w:ascii="Arial" w:hAnsi="Arial" w:cs="Arial"/>
        </w:rPr>
        <w:t>Rua Treze de Maio nº 160 – Centro – Tatuí - SP (sede do COSC)</w:t>
      </w:r>
      <w:r w:rsidRPr="00740CD2">
        <w:rPr>
          <w:rFonts w:ascii="Arial" w:hAnsi="Arial" w:cs="Arial"/>
        </w:rPr>
        <w:t xml:space="preserve">. </w:t>
      </w:r>
    </w:p>
    <w:p w:rsidR="00F82FC0" w:rsidRPr="00740CD2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Parágrafo único.</w:t>
      </w:r>
      <w:r w:rsidRPr="0032131B">
        <w:rPr>
          <w:rFonts w:ascii="Arial" w:hAnsi="Arial" w:cs="Arial"/>
        </w:rPr>
        <w:t xml:space="preserve"> Não será aceito projeto apresenta</w:t>
      </w:r>
      <w:r>
        <w:rPr>
          <w:rFonts w:ascii="Arial" w:hAnsi="Arial" w:cs="Arial"/>
        </w:rPr>
        <w:t>do após as 17h do dia 15/08/2016</w:t>
      </w:r>
      <w:r w:rsidRPr="0032131B">
        <w:rPr>
          <w:rFonts w:ascii="Arial" w:hAnsi="Arial" w:cs="Arial"/>
        </w:rPr>
        <w:t>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Art. 5º</w:t>
      </w:r>
      <w:r w:rsidRPr="0032131B">
        <w:rPr>
          <w:rFonts w:ascii="Arial" w:hAnsi="Arial" w:cs="Arial"/>
        </w:rPr>
        <w:t xml:space="preserve"> - Conforme art. 2º, inciso XI, § 3º, do Decreto Municipal nº. 4.403 de 17/02/2004, com redação alterada pelo Decreto Municipal nº. 11.925 de 17/08/2011, as entidades poderão receber recursos de forma dirigida, ficando sempre 20% dos mesmos </w:t>
      </w:r>
      <w:r w:rsidRPr="0032131B">
        <w:rPr>
          <w:rFonts w:ascii="Arial" w:hAnsi="Arial" w:cs="Arial"/>
        </w:rPr>
        <w:lastRenderedPageBreak/>
        <w:t>retidos no FMDCA para distribuição geral entre os projetos aprovados, como p</w:t>
      </w:r>
      <w:r>
        <w:rPr>
          <w:rFonts w:ascii="Arial" w:hAnsi="Arial" w:cs="Arial"/>
        </w:rPr>
        <w:t>revisto no § 4º do mesmo artigo.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</w:rPr>
        <w:t xml:space="preserve"> </w:t>
      </w:r>
      <w:r w:rsidRPr="0032131B">
        <w:rPr>
          <w:rFonts w:ascii="Arial" w:hAnsi="Arial" w:cs="Arial"/>
          <w:b/>
        </w:rPr>
        <w:t>Art. 6º</w:t>
      </w:r>
      <w:r w:rsidR="00121372">
        <w:rPr>
          <w:rFonts w:ascii="Arial" w:hAnsi="Arial" w:cs="Arial"/>
        </w:rPr>
        <w:t xml:space="preserve"> - No inicio de 2017</w:t>
      </w:r>
      <w:r w:rsidRPr="0032131B">
        <w:rPr>
          <w:rFonts w:ascii="Arial" w:hAnsi="Arial" w:cs="Arial"/>
        </w:rPr>
        <w:t xml:space="preserve"> o CMDCA realizará a distribuição dos recursos captados de forma dirigida ou não.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§ 1°</w:t>
      </w:r>
      <w:r w:rsidRPr="0032131B">
        <w:rPr>
          <w:rFonts w:ascii="Arial" w:hAnsi="Arial" w:cs="Arial"/>
        </w:rPr>
        <w:t xml:space="preserve"> – Os recursos captados de forma dirigida serão repassados para as entidades até o limite de 80% do valor </w:t>
      </w:r>
      <w:r>
        <w:rPr>
          <w:rFonts w:ascii="Arial" w:hAnsi="Arial" w:cs="Arial"/>
        </w:rPr>
        <w:t>arrecadado pela entidade,</w:t>
      </w:r>
      <w:r w:rsidRPr="003213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excedente</w:t>
      </w:r>
      <w:r w:rsidRPr="0032131B">
        <w:rPr>
          <w:rFonts w:ascii="Arial" w:hAnsi="Arial" w:cs="Arial"/>
        </w:rPr>
        <w:t xml:space="preserve"> ficara retido no FMDCA para distribuição geral dos projetos aprovados.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§ 2°</w:t>
      </w:r>
      <w:r w:rsidRPr="0032131B">
        <w:rPr>
          <w:rFonts w:ascii="Arial" w:hAnsi="Arial" w:cs="Arial"/>
        </w:rPr>
        <w:t xml:space="preserve"> - Os recursos depositados no FMDCA de forma não dirigida serão distribuídos conforme critérios constantes no artigo 7º desta deliberação. 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Art. 7º</w:t>
      </w:r>
      <w:r w:rsidRPr="0032131B">
        <w:rPr>
          <w:rFonts w:ascii="Arial" w:hAnsi="Arial" w:cs="Arial"/>
        </w:rPr>
        <w:t xml:space="preserve"> - Para a distribuição de recursos previstos no § 2º do art. 6º, serão considerados os seguintes critérios: 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§ 1°</w:t>
      </w:r>
      <w:r w:rsidRPr="0032131B">
        <w:rPr>
          <w:rFonts w:ascii="Arial" w:hAnsi="Arial" w:cs="Arial"/>
        </w:rPr>
        <w:t xml:space="preserve"> - O repasse do recurso não será inferior a R$1.000,00 (um </w:t>
      </w:r>
      <w:r>
        <w:rPr>
          <w:rFonts w:ascii="Arial" w:hAnsi="Arial" w:cs="Arial"/>
        </w:rPr>
        <w:t>mil reais) e nem superior a R$ 30.000,00 (trinta</w:t>
      </w:r>
      <w:r w:rsidRPr="0032131B">
        <w:rPr>
          <w:rFonts w:ascii="Arial" w:hAnsi="Arial" w:cs="Arial"/>
        </w:rPr>
        <w:t xml:space="preserve"> mil reais), a cada projeto aprovado. 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  <w:b/>
        </w:rPr>
      </w:pPr>
    </w:p>
    <w:p w:rsidR="00F82FC0" w:rsidRPr="007F61C9" w:rsidRDefault="00F82FC0" w:rsidP="00F82FC0">
      <w:pPr>
        <w:ind w:firstLine="1620"/>
        <w:jc w:val="both"/>
        <w:rPr>
          <w:rFonts w:ascii="Arial" w:hAnsi="Arial" w:cs="Arial"/>
          <w:b/>
          <w:strike/>
        </w:rPr>
      </w:pPr>
      <w:r w:rsidRPr="0032131B">
        <w:rPr>
          <w:rFonts w:ascii="Arial" w:hAnsi="Arial" w:cs="Arial"/>
          <w:b/>
        </w:rPr>
        <w:t>§ 2°</w:t>
      </w:r>
      <w:r w:rsidRPr="00FE6B5C">
        <w:rPr>
          <w:rFonts w:ascii="Arial" w:hAnsi="Arial" w:cs="Arial"/>
          <w:b/>
        </w:rPr>
        <w:t xml:space="preserve"> </w:t>
      </w:r>
      <w:r w:rsidRPr="00FE6B5C">
        <w:rPr>
          <w:rFonts w:ascii="Arial" w:hAnsi="Arial" w:cs="Arial"/>
        </w:rPr>
        <w:t>- Caso</w:t>
      </w:r>
      <w:r>
        <w:rPr>
          <w:rFonts w:ascii="Arial" w:hAnsi="Arial" w:cs="Arial"/>
        </w:rPr>
        <w:t xml:space="preserve"> após a distribuição</w:t>
      </w:r>
      <w:r w:rsidRPr="00FE6B5C">
        <w:rPr>
          <w:rFonts w:ascii="Arial" w:hAnsi="Arial" w:cs="Arial"/>
        </w:rPr>
        <w:t xml:space="preserve"> ocorra sobra de verba, o Conselho</w:t>
      </w:r>
      <w:r>
        <w:rPr>
          <w:rFonts w:ascii="Arial" w:hAnsi="Arial" w:cs="Arial"/>
        </w:rPr>
        <w:t>, através de reunião e votação irá decidir a forma qu</w:t>
      </w:r>
      <w:r w:rsidR="00121372">
        <w:rPr>
          <w:rFonts w:ascii="Arial" w:hAnsi="Arial" w:cs="Arial"/>
        </w:rPr>
        <w:t>e deverá ser</w:t>
      </w:r>
      <w:r>
        <w:rPr>
          <w:rFonts w:ascii="Arial" w:hAnsi="Arial" w:cs="Arial"/>
        </w:rPr>
        <w:t xml:space="preserve"> utilizado o valor restante.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§ 3°</w:t>
      </w:r>
      <w:r w:rsidRPr="0032131B">
        <w:rPr>
          <w:rFonts w:ascii="Arial" w:hAnsi="Arial" w:cs="Arial"/>
        </w:rPr>
        <w:t xml:space="preserve"> - Para aprovação e recebimento dos recursos deverão ser levados em conta: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  <w:b/>
        </w:rPr>
      </w:pPr>
      <w:r w:rsidRPr="0032131B">
        <w:rPr>
          <w:rFonts w:ascii="Arial" w:hAnsi="Arial" w:cs="Arial"/>
          <w:b/>
        </w:rPr>
        <w:t xml:space="preserve"> 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a)</w:t>
      </w:r>
      <w:r w:rsidRPr="0032131B">
        <w:rPr>
          <w:rFonts w:ascii="Arial" w:hAnsi="Arial" w:cs="Arial"/>
        </w:rPr>
        <w:t xml:space="preserve"> projeto de ação contínua;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b)</w:t>
      </w:r>
      <w:r w:rsidRPr="0032131B">
        <w:rPr>
          <w:rFonts w:ascii="Arial" w:hAnsi="Arial" w:cs="Arial"/>
        </w:rPr>
        <w:t xml:space="preserve"> quantidade de atendidos;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c)</w:t>
      </w:r>
      <w:r w:rsidRPr="0032131B">
        <w:rPr>
          <w:rFonts w:ascii="Arial" w:hAnsi="Arial" w:cs="Arial"/>
        </w:rPr>
        <w:t xml:space="preserve"> número de dias/horas de atendimentos;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d)</w:t>
      </w:r>
      <w:r w:rsidRPr="0032131B">
        <w:rPr>
          <w:rFonts w:ascii="Arial" w:hAnsi="Arial" w:cs="Arial"/>
        </w:rPr>
        <w:t xml:space="preserve"> análise da realidade do projeto, sendo que 60% da verba disponível </w:t>
      </w:r>
      <w:proofErr w:type="gramStart"/>
      <w:r w:rsidRPr="0032131B">
        <w:rPr>
          <w:rFonts w:ascii="Arial" w:hAnsi="Arial" w:cs="Arial"/>
        </w:rPr>
        <w:t>será</w:t>
      </w:r>
      <w:proofErr w:type="gramEnd"/>
      <w:r w:rsidRPr="0032131B">
        <w:rPr>
          <w:rFonts w:ascii="Arial" w:hAnsi="Arial" w:cs="Arial"/>
        </w:rPr>
        <w:t xml:space="preserve"> destinada ao calculo </w:t>
      </w:r>
      <w:r w:rsidRPr="008726EC">
        <w:rPr>
          <w:rFonts w:ascii="Arial" w:hAnsi="Arial" w:cs="Arial"/>
          <w:i/>
        </w:rPr>
        <w:t>per capita</w:t>
      </w:r>
      <w:r w:rsidRPr="0032131B">
        <w:rPr>
          <w:rFonts w:ascii="Arial" w:hAnsi="Arial" w:cs="Arial"/>
        </w:rPr>
        <w:t xml:space="preserve"> por período</w:t>
      </w:r>
      <w:r w:rsidR="00121372">
        <w:rPr>
          <w:rFonts w:ascii="Arial" w:hAnsi="Arial" w:cs="Arial"/>
        </w:rPr>
        <w:t xml:space="preserve"> </w:t>
      </w:r>
      <w:r w:rsidR="00121372" w:rsidRPr="00740CD2">
        <w:rPr>
          <w:rFonts w:ascii="Arial" w:hAnsi="Arial" w:cs="Arial"/>
        </w:rPr>
        <w:t>(horas de atendimento)</w:t>
      </w:r>
      <w:r w:rsidRPr="00121372">
        <w:rPr>
          <w:rFonts w:ascii="Arial" w:hAnsi="Arial" w:cs="Arial"/>
          <w:color w:val="FF0000"/>
        </w:rPr>
        <w:t xml:space="preserve"> </w:t>
      </w:r>
      <w:r w:rsidRPr="0032131B">
        <w:rPr>
          <w:rFonts w:ascii="Arial" w:hAnsi="Arial" w:cs="Arial"/>
        </w:rPr>
        <w:t xml:space="preserve">e 40% para calculo </w:t>
      </w:r>
      <w:r w:rsidRPr="008726EC">
        <w:rPr>
          <w:rFonts w:ascii="Arial" w:hAnsi="Arial" w:cs="Arial"/>
          <w:i/>
        </w:rPr>
        <w:t>per capita</w:t>
      </w:r>
      <w:r w:rsidRPr="0032131B">
        <w:rPr>
          <w:rFonts w:ascii="Arial" w:hAnsi="Arial" w:cs="Arial"/>
        </w:rPr>
        <w:t xml:space="preserve"> por números de crianças e adolescentes atendidos.</w:t>
      </w: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8</w:t>
      </w:r>
      <w:r w:rsidRPr="0032131B">
        <w:rPr>
          <w:rFonts w:ascii="Arial" w:hAnsi="Arial" w:cs="Arial"/>
          <w:b/>
        </w:rPr>
        <w:t>º</w:t>
      </w:r>
      <w:r w:rsidRPr="003213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contrapartida mínima da entidade será de 5% (cinco por cento).</w:t>
      </w: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9º </w:t>
      </w:r>
      <w:r w:rsidRPr="0032131B">
        <w:rPr>
          <w:rFonts w:ascii="Arial" w:hAnsi="Arial" w:cs="Arial"/>
        </w:rPr>
        <w:t>- A prestação de contas final dos recursos repassados deverá ser encaminha</w:t>
      </w:r>
      <w:r>
        <w:rPr>
          <w:rFonts w:ascii="Arial" w:hAnsi="Arial" w:cs="Arial"/>
        </w:rPr>
        <w:t>da ao CMDCA até o dia 15/01/201</w:t>
      </w:r>
      <w:r w:rsidR="00121372">
        <w:rPr>
          <w:rFonts w:ascii="Arial" w:hAnsi="Arial" w:cs="Arial"/>
        </w:rPr>
        <w:t>8</w:t>
      </w:r>
      <w:r w:rsidRPr="0032131B">
        <w:rPr>
          <w:rFonts w:ascii="Arial" w:hAnsi="Arial" w:cs="Arial"/>
        </w:rPr>
        <w:t>, em uma via, sem prejuízo do previsto no convênio, acompanhada  de: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 xml:space="preserve">I </w:t>
      </w:r>
      <w:r w:rsidRPr="0032131B">
        <w:rPr>
          <w:rFonts w:ascii="Arial" w:hAnsi="Arial" w:cs="Arial"/>
        </w:rPr>
        <w:t>- Relatório das atividades desenvolvidas;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  <w:b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II</w:t>
      </w:r>
      <w:r w:rsidRPr="0032131B">
        <w:rPr>
          <w:rFonts w:ascii="Arial" w:hAnsi="Arial" w:cs="Arial"/>
        </w:rPr>
        <w:t xml:space="preserve"> - Relação nominal dos beneficiados, constando endereço residencial e documento de identidade;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  <w:b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III</w:t>
      </w:r>
      <w:r w:rsidRPr="0032131B">
        <w:rPr>
          <w:rFonts w:ascii="Arial" w:hAnsi="Arial" w:cs="Arial"/>
        </w:rPr>
        <w:t xml:space="preserve"> - Prestação de contas dos gastos acompanhada de copias das Notas Fiscais e comprovação da aplicação dos recursos;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IV</w:t>
      </w:r>
      <w:r w:rsidRPr="0032131B">
        <w:rPr>
          <w:rFonts w:ascii="Arial" w:hAnsi="Arial" w:cs="Arial"/>
        </w:rPr>
        <w:t xml:space="preserve"> - Manifestação expressa do Conselho Fiscal sobre a exatidão da documentação comprovadora das despesas;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V</w:t>
      </w:r>
      <w:r w:rsidRPr="0032131B">
        <w:rPr>
          <w:rFonts w:ascii="Arial" w:hAnsi="Arial" w:cs="Arial"/>
        </w:rPr>
        <w:t xml:space="preserve"> - Demais documentações exigidas e constantes do Convênio firmado com a Prefeitura Municipal de Tatuí.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  <w:b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VI</w:t>
      </w:r>
      <w:r w:rsidRPr="0032131B">
        <w:rPr>
          <w:rFonts w:ascii="Arial" w:hAnsi="Arial" w:cs="Arial"/>
        </w:rPr>
        <w:t xml:space="preserve"> – Declaração do setor de contabilidade da prefeitura municipal da aprovação da prestação de contas.</w:t>
      </w:r>
    </w:p>
    <w:p w:rsidR="00F82FC0" w:rsidRPr="0032131B" w:rsidRDefault="00740CD2" w:rsidP="00F82FC0">
      <w:pPr>
        <w:ind w:firstLine="1620"/>
        <w:jc w:val="both"/>
        <w:rPr>
          <w:rFonts w:ascii="Arial" w:hAnsi="Arial" w:cs="Arial"/>
        </w:rPr>
      </w:pPr>
      <w:r w:rsidRPr="00740CD2">
        <w:rPr>
          <w:rFonts w:ascii="Arial" w:hAnsi="Arial" w:cs="Arial"/>
          <w:b/>
        </w:rPr>
        <w:t>VII</w:t>
      </w:r>
      <w:r>
        <w:rPr>
          <w:rFonts w:ascii="Arial" w:hAnsi="Arial" w:cs="Arial"/>
        </w:rPr>
        <w:t xml:space="preserve"> – A não utilização do recurso até 31/12/2017 implicará na devolução do mesmo ao FMDCA.</w:t>
      </w: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Parágrafo único.</w:t>
      </w:r>
      <w:r w:rsidRPr="0032131B">
        <w:rPr>
          <w:rFonts w:ascii="Arial" w:hAnsi="Arial" w:cs="Arial"/>
        </w:rPr>
        <w:t xml:space="preserve"> Nas primeiras vias das Notas Fiscais deverão ter anotações do Convênio firmado.</w:t>
      </w:r>
      <w:bookmarkStart w:id="0" w:name="_GoBack"/>
      <w:bookmarkEnd w:id="0"/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 xml:space="preserve">Art. </w:t>
      </w:r>
      <w:r>
        <w:rPr>
          <w:rFonts w:ascii="Arial" w:hAnsi="Arial" w:cs="Arial"/>
          <w:b/>
        </w:rPr>
        <w:t>10</w:t>
      </w:r>
      <w:r w:rsidRPr="0032131B">
        <w:rPr>
          <w:rFonts w:ascii="Arial" w:hAnsi="Arial" w:cs="Arial"/>
        </w:rPr>
        <w:t xml:space="preserve"> - A não apresentação da referida prestação de contas no prazo estipulado impedirá a Entidade de pleitear novos recursos do FMDCA, no próximo exercício além de outras penalidades previstas em Lei.</w:t>
      </w: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</w:p>
    <w:p w:rsidR="00F82FC0" w:rsidRPr="0032131B" w:rsidRDefault="00F82FC0" w:rsidP="00F82FC0">
      <w:pPr>
        <w:ind w:firstLine="1620"/>
        <w:jc w:val="both"/>
        <w:rPr>
          <w:rFonts w:ascii="Arial" w:hAnsi="Arial" w:cs="Arial"/>
        </w:rPr>
      </w:pPr>
      <w:r w:rsidRPr="0032131B">
        <w:rPr>
          <w:rFonts w:ascii="Arial" w:hAnsi="Arial" w:cs="Arial"/>
          <w:b/>
        </w:rPr>
        <w:t>Art. 1</w:t>
      </w:r>
      <w:r>
        <w:rPr>
          <w:rFonts w:ascii="Arial" w:hAnsi="Arial" w:cs="Arial"/>
          <w:b/>
        </w:rPr>
        <w:t>1</w:t>
      </w:r>
      <w:r w:rsidRPr="0032131B">
        <w:rPr>
          <w:rFonts w:ascii="Arial" w:hAnsi="Arial" w:cs="Arial"/>
        </w:rPr>
        <w:t xml:space="preserve"> - Esta Deliberação</w:t>
      </w:r>
      <w:r>
        <w:rPr>
          <w:rFonts w:ascii="Arial" w:hAnsi="Arial" w:cs="Arial"/>
        </w:rPr>
        <w:t xml:space="preserve"> entra em vigor na data de sua publicação, sendo</w:t>
      </w:r>
      <w:r w:rsidR="00121372">
        <w:rPr>
          <w:rFonts w:ascii="Arial" w:hAnsi="Arial" w:cs="Arial"/>
        </w:rPr>
        <w:t xml:space="preserve"> válida até o dia 15/01/2018</w:t>
      </w:r>
      <w:r w:rsidRPr="0032131B">
        <w:rPr>
          <w:rFonts w:ascii="Arial" w:hAnsi="Arial" w:cs="Arial"/>
        </w:rPr>
        <w:t>.</w:t>
      </w:r>
    </w:p>
    <w:p w:rsidR="00F82FC0" w:rsidRPr="0032131B" w:rsidRDefault="00F82FC0" w:rsidP="00F82FC0">
      <w:pPr>
        <w:jc w:val="both"/>
        <w:rPr>
          <w:rFonts w:ascii="Arial" w:hAnsi="Arial" w:cs="Arial"/>
        </w:rPr>
      </w:pPr>
    </w:p>
    <w:p w:rsidR="00F82FC0" w:rsidRDefault="00F82FC0" w:rsidP="00F82F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Tatuí, 1</w:t>
      </w:r>
      <w:r w:rsidR="0012137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de Julho de 201</w:t>
      </w:r>
      <w:r w:rsidR="00121372">
        <w:rPr>
          <w:rFonts w:ascii="Arial" w:hAnsi="Arial" w:cs="Arial"/>
        </w:rPr>
        <w:t>6</w:t>
      </w:r>
      <w:r w:rsidRPr="0032131B">
        <w:rPr>
          <w:rFonts w:ascii="Arial" w:hAnsi="Arial" w:cs="Arial"/>
        </w:rPr>
        <w:t>.</w:t>
      </w:r>
    </w:p>
    <w:p w:rsidR="00F82FC0" w:rsidRDefault="00F82FC0" w:rsidP="00F82FC0">
      <w:pPr>
        <w:jc w:val="center"/>
        <w:rPr>
          <w:rFonts w:ascii="Arial" w:hAnsi="Arial" w:cs="Arial"/>
        </w:rPr>
      </w:pPr>
    </w:p>
    <w:p w:rsidR="00F82FC0" w:rsidRDefault="00F82FC0" w:rsidP="00F82FC0">
      <w:pPr>
        <w:jc w:val="center"/>
        <w:rPr>
          <w:rFonts w:ascii="Arial" w:hAnsi="Arial" w:cs="Arial"/>
        </w:rPr>
      </w:pPr>
    </w:p>
    <w:p w:rsidR="00F82FC0" w:rsidRDefault="00F82FC0" w:rsidP="00F82FC0">
      <w:pPr>
        <w:jc w:val="center"/>
        <w:rPr>
          <w:rFonts w:ascii="Arial" w:hAnsi="Arial" w:cs="Arial"/>
        </w:rPr>
      </w:pPr>
    </w:p>
    <w:p w:rsidR="00F82FC0" w:rsidRDefault="00F82FC0" w:rsidP="00F82FC0">
      <w:pPr>
        <w:jc w:val="center"/>
        <w:rPr>
          <w:rFonts w:ascii="Arial" w:hAnsi="Arial" w:cs="Arial"/>
        </w:rPr>
      </w:pPr>
    </w:p>
    <w:p w:rsidR="00F82FC0" w:rsidRDefault="00121372" w:rsidP="00F82F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Daniele de Campos Moraes Mendes</w:t>
      </w:r>
    </w:p>
    <w:p w:rsidR="00F82FC0" w:rsidRPr="0032131B" w:rsidRDefault="00F82FC0" w:rsidP="00F82F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Presidente do CMDCA</w:t>
      </w:r>
    </w:p>
    <w:p w:rsidR="00F82FC0" w:rsidRPr="0032131B" w:rsidRDefault="00F82FC0" w:rsidP="00F82FC0">
      <w:pPr>
        <w:jc w:val="both"/>
        <w:rPr>
          <w:rFonts w:ascii="Arial" w:hAnsi="Arial" w:cs="Arial"/>
        </w:rPr>
      </w:pPr>
    </w:p>
    <w:p w:rsidR="00F82FC0" w:rsidRPr="0032131B" w:rsidRDefault="00F82FC0" w:rsidP="00F82FC0">
      <w:pPr>
        <w:jc w:val="both"/>
        <w:rPr>
          <w:rFonts w:ascii="Arial" w:hAnsi="Arial" w:cs="Arial"/>
        </w:rPr>
      </w:pPr>
    </w:p>
    <w:p w:rsidR="00F82FC0" w:rsidRPr="0032131B" w:rsidRDefault="00F82FC0" w:rsidP="00F82FC0">
      <w:pPr>
        <w:jc w:val="both"/>
        <w:rPr>
          <w:rFonts w:ascii="Arial" w:hAnsi="Arial" w:cs="Arial"/>
        </w:rPr>
      </w:pPr>
    </w:p>
    <w:p w:rsidR="00F82FC0" w:rsidRDefault="00F82FC0" w:rsidP="00F82FC0">
      <w:pPr>
        <w:jc w:val="both"/>
      </w:pPr>
    </w:p>
    <w:p w:rsidR="008B0328" w:rsidRDefault="008B0328"/>
    <w:sectPr w:rsidR="008B0328" w:rsidSect="00E1416C">
      <w:headerReference w:type="default" r:id="rId7"/>
      <w:footerReference w:type="default" r:id="rId8"/>
      <w:pgSz w:w="11906" w:h="16838"/>
      <w:pgMar w:top="851" w:right="851" w:bottom="851" w:left="851" w:header="540" w:footer="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281" w:rsidRDefault="001A3281">
      <w:r>
        <w:separator/>
      </w:r>
    </w:p>
  </w:endnote>
  <w:endnote w:type="continuationSeparator" w:id="0">
    <w:p w:rsidR="001A3281" w:rsidRDefault="001A3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6A" w:rsidRDefault="00E52BEE" w:rsidP="00E1416C">
    <w:pPr>
      <w:pStyle w:val="Rodap"/>
      <w:pBdr>
        <w:top w:val="single" w:sz="4" w:space="1" w:color="auto"/>
      </w:pBdr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31456F">
      <w:rPr>
        <w:rStyle w:val="Nmerodepgina"/>
        <w:noProof/>
      </w:rPr>
      <w:t>3</w:t>
    </w:r>
    <w:r>
      <w:rPr>
        <w:rStyle w:val="Nmerodepgina"/>
      </w:rPr>
      <w:fldChar w:fldCharType="end"/>
    </w:r>
    <w:r>
      <w:rPr>
        <w:rStyle w:val="Nmerodepgina"/>
      </w:rPr>
      <w:t>/</w:t>
    </w:r>
    <w:r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>
      <w:rPr>
        <w:rStyle w:val="Nmerodepgina"/>
      </w:rPr>
      <w:fldChar w:fldCharType="separate"/>
    </w:r>
    <w:r w:rsidR="0031456F">
      <w:rPr>
        <w:rStyle w:val="Nmerodepgina"/>
        <w:noProof/>
      </w:rPr>
      <w:t>3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281" w:rsidRDefault="001A3281">
      <w:r>
        <w:separator/>
      </w:r>
    </w:p>
  </w:footnote>
  <w:footnote w:type="continuationSeparator" w:id="0">
    <w:p w:rsidR="001A3281" w:rsidRDefault="001A3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6A" w:rsidRPr="00F82FC0" w:rsidRDefault="00F82FC0" w:rsidP="00117356">
    <w:pPr>
      <w:jc w:val="center"/>
      <w:rPr>
        <w:rFonts w:ascii="Tahoma" w:hAnsi="Tahoma"/>
        <w:b/>
        <w:smallCaps/>
        <w:color w:val="000000"/>
        <w:u w:val="singl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>
      <w:rPr>
        <w:rFonts w:ascii="Tahoma" w:hAnsi="Tahoma"/>
        <w:b/>
        <w:smallCaps/>
        <w:noProof/>
        <w:color w:val="00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-200025</wp:posOffset>
          </wp:positionV>
          <wp:extent cx="773430" cy="746760"/>
          <wp:effectExtent l="0" t="0" r="7620" b="0"/>
          <wp:wrapThrough wrapText="bothSides">
            <wp:wrapPolygon edited="0">
              <wp:start x="0" y="0"/>
              <wp:lineTo x="0" y="20939"/>
              <wp:lineTo x="21281" y="20939"/>
              <wp:lineTo x="21281" y="0"/>
              <wp:lineTo x="0" y="0"/>
            </wp:wrapPolygon>
          </wp:wrapThrough>
          <wp:docPr id="1" name="Imagem 1" descr="C:\Users\cosc\Documents\Daniele\CMDCA - 2012-2013\logo CMDCA\LOGO Conselho Municipal dos Direitos da Criança e do Adolesce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cosc\Documents\Daniele\CMDCA - 2012-2013\logo CMDCA\LOGO Conselho Municipal dos Direitos da Criança e do Adolescen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2BEE" w:rsidRPr="00F82FC0">
      <w:rPr>
        <w:rFonts w:ascii="Tahoma" w:hAnsi="Tahoma"/>
        <w:b/>
        <w:smallCaps/>
        <w:color w:val="000000"/>
        <w:u w:val="singl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Conselho Municipal dos Direitos da Criança e do Adolescente - CMDCA</w:t>
    </w:r>
  </w:p>
  <w:p w:rsidR="0075096A" w:rsidRPr="00F82FC0" w:rsidRDefault="00E52BEE" w:rsidP="00117356">
    <w:pPr>
      <w:jc w:val="center"/>
      <w:rPr>
        <w:rFonts w:ascii="Tahoma" w:hAnsi="Tahoma"/>
        <w:b/>
        <w:smallCaps/>
        <w:color w:val="00000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 w:rsidRPr="00F82FC0">
      <w:rPr>
        <w:rFonts w:ascii="Tahoma" w:hAnsi="Tahoma"/>
        <w:b/>
        <w:smallCaps/>
        <w:color w:val="00000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Secretaria Executiva dos Conselhos de Assistência Social</w:t>
    </w:r>
  </w:p>
  <w:p w:rsidR="0075096A" w:rsidRPr="00F82FC0" w:rsidRDefault="00E52BEE" w:rsidP="00117356">
    <w:pPr>
      <w:jc w:val="center"/>
      <w:rPr>
        <w:rFonts w:ascii="Tahoma" w:hAnsi="Tahoma"/>
        <w:smallCaps/>
        <w:color w:val="000000"/>
        <w:sz w:val="20"/>
        <w:szCs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 w:rsidRPr="00F82FC0">
      <w:rPr>
        <w:rFonts w:ascii="Tahoma" w:hAnsi="Tahoma"/>
        <w:smallCaps/>
        <w:color w:val="000000"/>
        <w:sz w:val="20"/>
        <w:szCs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Av. Senador Laurindo Minhoto, nº. 310 – Dr. Laurindo CEP: 18271-480</w:t>
    </w:r>
  </w:p>
  <w:p w:rsidR="0075096A" w:rsidRDefault="00E52BEE" w:rsidP="00117356">
    <w:pPr>
      <w:pBdr>
        <w:bottom w:val="single" w:sz="4" w:space="1" w:color="auto"/>
      </w:pBdr>
      <w:jc w:val="center"/>
    </w:pPr>
    <w:r w:rsidRPr="003E139D">
      <w:t xml:space="preserve">Telefone: (15) 3251-4375 e-mail: </w:t>
    </w:r>
    <w:r>
      <w:t>c.conselhostatui@gmail.com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FC0"/>
    <w:rsid w:val="00121372"/>
    <w:rsid w:val="001A3281"/>
    <w:rsid w:val="0031456F"/>
    <w:rsid w:val="00740CD2"/>
    <w:rsid w:val="008B0328"/>
    <w:rsid w:val="00984742"/>
    <w:rsid w:val="00E52BEE"/>
    <w:rsid w:val="00F8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F82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82FC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F82FC0"/>
  </w:style>
  <w:style w:type="paragraph" w:styleId="Textodebalo">
    <w:name w:val="Balloon Text"/>
    <w:basedOn w:val="Normal"/>
    <w:link w:val="TextodebaloChar"/>
    <w:uiPriority w:val="99"/>
    <w:semiHidden/>
    <w:unhideWhenUsed/>
    <w:rsid w:val="003145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56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F82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82FC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F82FC0"/>
  </w:style>
  <w:style w:type="paragraph" w:styleId="Textodebalo">
    <w:name w:val="Balloon Text"/>
    <w:basedOn w:val="Normal"/>
    <w:link w:val="TextodebaloChar"/>
    <w:uiPriority w:val="99"/>
    <w:semiHidden/>
    <w:unhideWhenUsed/>
    <w:rsid w:val="003145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56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828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4</cp:revision>
  <cp:lastPrinted>2016-07-12T15:07:00Z</cp:lastPrinted>
  <dcterms:created xsi:type="dcterms:W3CDTF">2016-07-11T14:19:00Z</dcterms:created>
  <dcterms:modified xsi:type="dcterms:W3CDTF">2016-07-12T15:11:00Z</dcterms:modified>
</cp:coreProperties>
</file>